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Stížnost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č. Název položky a obsah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 </w:t>
      </w:r>
      <w:r>
        <w:rPr>
          <w:rFonts w:ascii="Arial" w:hAnsi="Arial" w:cs="Arial"/>
          <w:b/>
          <w:bCs/>
          <w:color w:val="000000"/>
          <w:sz w:val="24"/>
          <w:szCs w:val="24"/>
        </w:rPr>
        <w:t>Identifika</w:t>
      </w:r>
      <w:r>
        <w:rPr>
          <w:rFonts w:ascii="Arial" w:hAnsi="Arial" w:cs="Arial"/>
          <w:color w:val="000000"/>
          <w:sz w:val="24"/>
          <w:szCs w:val="24"/>
        </w:rPr>
        <w:t>č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ní </w:t>
      </w:r>
      <w:r>
        <w:rPr>
          <w:rFonts w:ascii="Arial" w:hAnsi="Arial" w:cs="Arial"/>
          <w:color w:val="000000"/>
          <w:sz w:val="24"/>
          <w:szCs w:val="24"/>
        </w:rPr>
        <w:t>č</w:t>
      </w:r>
      <w:r>
        <w:rPr>
          <w:rFonts w:ascii="Arial" w:hAnsi="Arial" w:cs="Arial"/>
          <w:b/>
          <w:bCs/>
          <w:color w:val="000000"/>
          <w:sz w:val="24"/>
          <w:szCs w:val="24"/>
        </w:rPr>
        <w:t>íslo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 </w:t>
      </w:r>
      <w:r>
        <w:rPr>
          <w:rFonts w:ascii="Arial" w:hAnsi="Arial" w:cs="Arial"/>
          <w:b/>
          <w:bCs/>
          <w:color w:val="000000"/>
          <w:sz w:val="24"/>
          <w:szCs w:val="24"/>
        </w:rPr>
        <w:t>Kód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001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Pojmenování (název) životní situace.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Stížnost.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 </w:t>
      </w:r>
      <w:r>
        <w:rPr>
          <w:rFonts w:ascii="Arial" w:hAnsi="Arial" w:cs="Arial"/>
          <w:b/>
          <w:bCs/>
          <w:color w:val="000000"/>
          <w:sz w:val="24"/>
          <w:szCs w:val="24"/>
        </w:rPr>
        <w:t>Základní informace k životní situaci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Stížnost je podání, jež vyjadřuje určitý projev nespokojenosti s něčím nebo s někým a týká se zejména osobních zájmů osoby, která je učinila. Za stížnost se nepovažují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návrhy na zahájení řízení, odvolání, námitky proti jednotlivým úkonům a opatřením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spojeným s výkonem rozhodnutí podle zvláštních předpisů. Stížnost podaná ve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prospěch jiného je oznámením, stížnost sledující širší společenský prospěch je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podnětem.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 </w:t>
      </w:r>
      <w:r>
        <w:rPr>
          <w:rFonts w:ascii="Arial" w:hAnsi="Arial" w:cs="Arial"/>
          <w:b/>
          <w:bCs/>
          <w:color w:val="000000"/>
          <w:sz w:val="24"/>
          <w:szCs w:val="24"/>
        </w:rPr>
        <w:t>Kdo je oprávn</w:t>
      </w:r>
      <w:r>
        <w:rPr>
          <w:rFonts w:ascii="Arial" w:hAnsi="Arial" w:cs="Arial"/>
          <w:color w:val="000000"/>
          <w:sz w:val="24"/>
          <w:szCs w:val="24"/>
        </w:rPr>
        <w:t>ě</w:t>
      </w:r>
      <w:r>
        <w:rPr>
          <w:rFonts w:ascii="Arial" w:hAnsi="Arial" w:cs="Arial"/>
          <w:b/>
          <w:bCs/>
          <w:color w:val="000000"/>
          <w:sz w:val="24"/>
          <w:szCs w:val="24"/>
        </w:rPr>
        <w:t>n v této v</w:t>
      </w:r>
      <w:r>
        <w:rPr>
          <w:rFonts w:ascii="Arial" w:hAnsi="Arial" w:cs="Arial"/>
          <w:color w:val="000000"/>
          <w:sz w:val="24"/>
          <w:szCs w:val="24"/>
        </w:rPr>
        <w:t>ě</w:t>
      </w:r>
      <w:r>
        <w:rPr>
          <w:rFonts w:ascii="Arial" w:hAnsi="Arial" w:cs="Arial"/>
          <w:b/>
          <w:bCs/>
          <w:color w:val="000000"/>
          <w:sz w:val="24"/>
          <w:szCs w:val="24"/>
        </w:rPr>
        <w:t>ci jednat (podat žádost apod.)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Fyzická osoba, která dosáhla věku 18 let. Právnická osoba.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Jaké jsou podmínky a postup pro </w:t>
      </w:r>
      <w:r>
        <w:rPr>
          <w:rFonts w:ascii="Arial" w:hAnsi="Arial" w:cs="Arial"/>
          <w:color w:val="000000"/>
          <w:sz w:val="24"/>
          <w:szCs w:val="24"/>
        </w:rPr>
        <w:t>ř</w:t>
      </w:r>
      <w:r>
        <w:rPr>
          <w:rFonts w:ascii="Arial" w:hAnsi="Arial" w:cs="Arial"/>
          <w:b/>
          <w:bCs/>
          <w:color w:val="000000"/>
          <w:sz w:val="24"/>
          <w:szCs w:val="24"/>
        </w:rPr>
        <w:t>ešení životní situace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Stížnost nemá předepsanou formu a náležitosti, musí však být patrné kdo ji činí, které věci se týká, případně co se navrhuje.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color w:val="000000"/>
          <w:sz w:val="24"/>
          <w:szCs w:val="24"/>
        </w:rPr>
        <w:t>Jakým zp</w:t>
      </w:r>
      <w:r>
        <w:rPr>
          <w:rFonts w:ascii="Arial" w:hAnsi="Arial" w:cs="Arial"/>
          <w:color w:val="000000"/>
          <w:sz w:val="24"/>
          <w:szCs w:val="24"/>
        </w:rPr>
        <w:t>ů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sobem zahájit </w:t>
      </w:r>
      <w:r>
        <w:rPr>
          <w:rFonts w:ascii="Arial" w:hAnsi="Arial" w:cs="Arial"/>
          <w:color w:val="000000"/>
          <w:sz w:val="24"/>
          <w:szCs w:val="24"/>
        </w:rPr>
        <w:t>ř</w:t>
      </w:r>
      <w:r>
        <w:rPr>
          <w:rFonts w:ascii="Arial" w:hAnsi="Arial" w:cs="Arial"/>
          <w:b/>
          <w:bCs/>
          <w:color w:val="000000"/>
          <w:sz w:val="24"/>
          <w:szCs w:val="24"/>
        </w:rPr>
        <w:t>ešení životní situace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Stížnosti se podávají písemně (v individuálních případech zaměstnanec sepíše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záznam na stanovený tiskopis), stížnosti je možné zaslat poštou, doručit osobně, popř. jiným způsobem (telefon, fax, e-mail).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8 </w:t>
      </w:r>
      <w:r w:rsidR="0001517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které instituci životní situaci </w:t>
      </w:r>
      <w:r>
        <w:rPr>
          <w:rFonts w:ascii="Arial" w:hAnsi="Arial" w:cs="Arial"/>
          <w:color w:val="000000"/>
          <w:sz w:val="24"/>
          <w:szCs w:val="24"/>
        </w:rPr>
        <w:t>ř</w:t>
      </w:r>
      <w:r>
        <w:rPr>
          <w:rFonts w:ascii="Arial" w:hAnsi="Arial" w:cs="Arial"/>
          <w:b/>
          <w:bCs/>
          <w:color w:val="000000"/>
          <w:sz w:val="24"/>
          <w:szCs w:val="24"/>
        </w:rPr>
        <w:t>ešit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Úřad městské části Brno Řečkovice a Mokrá Hora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Magistrát města Brna, úřady městských částí statutárního města Brna (kontaktní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adresy viz www.brno.cz).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9 </w:t>
      </w:r>
      <w:r w:rsidR="0001517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Kde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 kým a kdy životní situaci </w:t>
      </w:r>
      <w:r>
        <w:rPr>
          <w:rFonts w:ascii="Arial" w:hAnsi="Arial" w:cs="Arial"/>
          <w:color w:val="000000"/>
          <w:sz w:val="24"/>
          <w:szCs w:val="24"/>
        </w:rPr>
        <w:t>ř</w:t>
      </w:r>
      <w:r>
        <w:rPr>
          <w:rFonts w:ascii="Arial" w:hAnsi="Arial" w:cs="Arial"/>
          <w:b/>
          <w:bCs/>
          <w:color w:val="000000"/>
          <w:sz w:val="24"/>
          <w:szCs w:val="24"/>
        </w:rPr>
        <w:t>ešit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Úřad městské části Brno Řečkovice a Mokrá Hora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Všechny útvary Magistrátu města Brna dle věcné příslušnosti, obecně Odbor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interního  auditu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kontroly Magistrátu města Brna, Dominikánské náměstí 3, 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01517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Jaké doklady je nutné mít s sebou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Nejsou požadovány, dle vlastního uvážení je stěžovatel předloží současně se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stížností.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="0001517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Jaké jsou pot</w:t>
      </w:r>
      <w:r>
        <w:rPr>
          <w:rFonts w:ascii="Arial" w:hAnsi="Arial" w:cs="Arial"/>
          <w:color w:val="000000"/>
          <w:sz w:val="24"/>
          <w:szCs w:val="24"/>
        </w:rPr>
        <w:t>ř</w:t>
      </w:r>
      <w:r>
        <w:rPr>
          <w:rFonts w:ascii="Arial" w:hAnsi="Arial" w:cs="Arial"/>
          <w:b/>
          <w:bCs/>
          <w:color w:val="000000"/>
          <w:sz w:val="24"/>
          <w:szCs w:val="24"/>
        </w:rPr>
        <w:t>ebné formulá</w:t>
      </w:r>
      <w:r>
        <w:rPr>
          <w:rFonts w:ascii="Arial" w:hAnsi="Arial" w:cs="Arial"/>
          <w:color w:val="000000"/>
          <w:sz w:val="24"/>
          <w:szCs w:val="24"/>
        </w:rPr>
        <w:t>ř</w:t>
      </w:r>
      <w:r>
        <w:rPr>
          <w:rFonts w:ascii="Arial" w:hAnsi="Arial" w:cs="Arial"/>
          <w:b/>
          <w:bCs/>
          <w:color w:val="000000"/>
          <w:sz w:val="24"/>
          <w:szCs w:val="24"/>
        </w:rPr>
        <w:t>e a kde jsou k dispozici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Formulář ani forma stížnosti není stanovena. Na stížnosti sepisované přímo na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Magistrátu města Brna se použije formuláře č. 1 a č. 2 dle Pravidel pro přijímání,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evidování a vyřizování stížností. Formuláře č. 1 a 2 jsou k dispozici na každém útvaru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Magistrátu města Brna a také viz </w:t>
      </w:r>
      <w:hyperlink r:id="rId4" w:history="1">
        <w:r w:rsidR="00380680" w:rsidRPr="007F600F">
          <w:rPr>
            <w:rStyle w:val="Hypertextovodkaz"/>
            <w:rFonts w:ascii="Arial" w:hAnsi="Arial" w:cs="Arial"/>
            <w:sz w:val="24"/>
            <w:szCs w:val="24"/>
          </w:rPr>
          <w:t>www.brno.cz</w:t>
        </w:r>
      </w:hyperlink>
      <w:r w:rsidR="0038068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12</w:t>
      </w:r>
      <w:r w:rsidR="0001517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Jaké jsou poplatky a jak je lze uhradit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Bez poplatku.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</w:t>
      </w:r>
      <w:r w:rsidR="0001517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Jaké jsou lh</w:t>
      </w:r>
      <w:r>
        <w:rPr>
          <w:rFonts w:ascii="Arial" w:hAnsi="Arial" w:cs="Arial"/>
          <w:color w:val="000000"/>
          <w:sz w:val="24"/>
          <w:szCs w:val="24"/>
        </w:rPr>
        <w:t>ů</w:t>
      </w:r>
      <w:r>
        <w:rPr>
          <w:rFonts w:ascii="Arial" w:hAnsi="Arial" w:cs="Arial"/>
          <w:b/>
          <w:bCs/>
          <w:color w:val="000000"/>
          <w:sz w:val="24"/>
          <w:szCs w:val="24"/>
        </w:rPr>
        <w:t>ty pro vy</w:t>
      </w:r>
      <w:r>
        <w:rPr>
          <w:rFonts w:ascii="Arial" w:hAnsi="Arial" w:cs="Arial"/>
          <w:color w:val="000000"/>
          <w:sz w:val="24"/>
          <w:szCs w:val="24"/>
        </w:rPr>
        <w:t>ř</w:t>
      </w:r>
      <w:r>
        <w:rPr>
          <w:rFonts w:ascii="Arial" w:hAnsi="Arial" w:cs="Arial"/>
          <w:b/>
          <w:bCs/>
          <w:color w:val="000000"/>
          <w:sz w:val="24"/>
          <w:szCs w:val="24"/>
        </w:rPr>
        <w:t>ízení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Stížnosti musí být prošetřeny a vyřízeny bezodkladně, nejdéle do 60 dnů ode dne, kdy byly doručeny Magistrátu města Brna; jde-li o působnost Zastupitelstva města Brna, nejpozději do 90 dnů.</w:t>
      </w:r>
    </w:p>
    <w:p w:rsidR="00332C0C" w:rsidRDefault="003369BA" w:rsidP="003369B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Stěžovatel je v uvedené lhůtě písemně informován o způsobu vyřízení stížnosti.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b/>
          <w:bCs/>
          <w:sz w:val="24"/>
          <w:szCs w:val="24"/>
        </w:rPr>
        <w:t>životní situace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Dotčené útvary Magistrátu města Brna, městské části města Brna, případně další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subjekty veřejné správy.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Jaké další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innosti jsou po žadateli požadovány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Nejsou.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Elektronická služba, kterou lze využít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Lze využít e-mail: </w:t>
      </w:r>
      <w:hyperlink r:id="rId5" w:history="1">
        <w:r w:rsidR="00380680" w:rsidRPr="007F600F">
          <w:rPr>
            <w:rStyle w:val="Hypertextovodkaz"/>
            <w:rFonts w:ascii="Arial" w:hAnsi="Arial" w:cs="Arial"/>
            <w:sz w:val="24"/>
            <w:szCs w:val="24"/>
          </w:rPr>
          <w:t>sekr@reckovice.brno.cz</w:t>
        </w:r>
      </w:hyperlink>
      <w:r w:rsidR="00380680">
        <w:rPr>
          <w:rFonts w:ascii="Arial" w:hAnsi="Arial" w:cs="Arial"/>
          <w:sz w:val="24"/>
          <w:szCs w:val="24"/>
        </w:rPr>
        <w:t xml:space="preserve"> 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Podle kterého právního 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edpisu se postupuje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Zákon č. 128/2000 Sb., o obcích (obecní zřízení),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 16 odst. 2 písm. g), odst. 3,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§ 17. Zákon č. 500/2004 Sb., správní řád,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 175. Zákon č. 106/1999 Sb., o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svobodném přístupu k informacím,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 16a.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Jaké jsou související 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edpisy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Listina základních práv a svobod, uvozená Ústavním zákonem č. 23/1991 Sb.; zákon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101/2000 Sb., o ochraně osobních údajů; Statut města Brna; Organizační řád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Magistrátu města Brna; Pravidla pro přijímání, evidování a vyřizování stížností.</w:t>
      </w:r>
    </w:p>
    <w:p w:rsidR="003369BA" w:rsidRDefault="00891B75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Organizační řády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ÚMČ</w:t>
      </w:r>
    </w:p>
    <w:p w:rsidR="002C6D03" w:rsidRDefault="002C6D03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Jaké jsou opravné prost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edky a jak se uplat</w:t>
      </w:r>
      <w:r>
        <w:rPr>
          <w:rFonts w:ascii="Arial" w:hAnsi="Arial" w:cs="Arial"/>
          <w:sz w:val="24"/>
          <w:szCs w:val="24"/>
        </w:rPr>
        <w:t>ň</w:t>
      </w:r>
      <w:r>
        <w:rPr>
          <w:rFonts w:ascii="Arial" w:hAnsi="Arial" w:cs="Arial"/>
          <w:b/>
          <w:bCs/>
          <w:sz w:val="24"/>
          <w:szCs w:val="24"/>
        </w:rPr>
        <w:t>ují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Opravné prostředky nelze uplatnit, pouze lze podat opakovanou stížnost, pokud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obsahuje nové skutečnosti. U stížností dle § 175 správního řádu lze požádat nadřízený správní orgán o přešetření způsobu vyřízení stížnosti.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Jaké sankce mohou být uplatn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ny v 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ípad</w:t>
      </w:r>
      <w:r>
        <w:rPr>
          <w:rFonts w:ascii="Arial" w:hAnsi="Arial" w:cs="Arial"/>
          <w:sz w:val="24"/>
          <w:szCs w:val="24"/>
        </w:rPr>
        <w:t xml:space="preserve">ě </w:t>
      </w:r>
      <w:r>
        <w:rPr>
          <w:rFonts w:ascii="Arial" w:hAnsi="Arial" w:cs="Arial"/>
          <w:b/>
          <w:bCs/>
          <w:sz w:val="24"/>
          <w:szCs w:val="24"/>
        </w:rPr>
        <w:t>nedodržení povinností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Nejsou.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Nej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ast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jší dotazy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Nelze zobecnit.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b/>
          <w:bCs/>
          <w:sz w:val="24"/>
          <w:szCs w:val="24"/>
        </w:rPr>
        <w:t>Další informace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 – portál veřejné správy.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369BA" w:rsidRP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369BA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 Informace o popisovaném postupu (o 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ešení životní situace) je možné získat také z jiných zdroj</w:t>
      </w:r>
      <w:r>
        <w:rPr>
          <w:rFonts w:ascii="Arial" w:hAnsi="Arial" w:cs="Arial"/>
          <w:sz w:val="24"/>
          <w:szCs w:val="24"/>
        </w:rPr>
        <w:t xml:space="preserve">ů </w:t>
      </w:r>
      <w:r>
        <w:rPr>
          <w:rFonts w:ascii="Arial" w:hAnsi="Arial" w:cs="Arial"/>
          <w:b/>
          <w:bCs/>
          <w:sz w:val="24"/>
          <w:szCs w:val="24"/>
        </w:rPr>
        <w:t>nebo v jiné form</w:t>
      </w:r>
      <w:r>
        <w:rPr>
          <w:rFonts w:ascii="Arial" w:hAnsi="Arial" w:cs="Arial"/>
          <w:sz w:val="24"/>
          <w:szCs w:val="24"/>
        </w:rPr>
        <w:t>ě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Související životní situace a návody, jak je 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ešit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Petice. Zákon č. 85/1990 Sb., o právu petičním.</w:t>
      </w:r>
    </w:p>
    <w:p w:rsidR="00015175" w:rsidRDefault="00015175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25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 správnost popisu odpovídá útvar</w:t>
      </w:r>
    </w:p>
    <w:p w:rsidR="003369BA" w:rsidRDefault="002C6D03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vnitřních věcí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Kontaktní osoba</w:t>
      </w:r>
    </w:p>
    <w:p w:rsidR="003369BA" w:rsidRDefault="002C6D03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Trnka Dušan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Popis je zpracován podle právního stavu ke dni</w:t>
      </w:r>
    </w:p>
    <w:p w:rsidR="00015175" w:rsidRDefault="002C6D03" w:rsidP="00015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10. 10. 2019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Popis byl naposledy aktualizován</w:t>
      </w:r>
    </w:p>
    <w:p w:rsidR="003369BA" w:rsidRDefault="006E13B8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10. 1</w:t>
      </w:r>
      <w:r w:rsidR="002C6D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201</w:t>
      </w:r>
      <w:r w:rsidR="002C6D03">
        <w:rPr>
          <w:rFonts w:ascii="Arial" w:hAnsi="Arial" w:cs="Arial"/>
          <w:sz w:val="24"/>
          <w:szCs w:val="24"/>
        </w:rPr>
        <w:t>9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Datum konce platnosti popisu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omezení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015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ípadná up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esn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ní a poznámky k 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ešení životní situace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Jednotný postup pro přijímání, evidování a vyřizování stížností je upraven pro útvary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Magistrátu města Brna Pravidly pro přijímání, evidování a vyřizování stížností,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schválenými Radou města Brna. Odbor interního auditu a kontroly Magistrátu města</w:t>
      </w:r>
    </w:p>
    <w:p w:rsidR="003369BA" w:rsidRDefault="003369BA" w:rsidP="0033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Brna metodicky řídí městské části statutárního města Brna v oblasti vyřizování</w:t>
      </w:r>
    </w:p>
    <w:p w:rsidR="003369BA" w:rsidRDefault="003369BA" w:rsidP="003369BA">
      <w:r>
        <w:rPr>
          <w:rFonts w:ascii="Arial" w:hAnsi="Arial" w:cs="Arial"/>
          <w:sz w:val="24"/>
          <w:szCs w:val="24"/>
        </w:rPr>
        <w:t>stížností.</w:t>
      </w:r>
    </w:p>
    <w:sectPr w:rsidR="003369BA" w:rsidSect="0033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BA"/>
    <w:rsid w:val="00015175"/>
    <w:rsid w:val="002C6D03"/>
    <w:rsid w:val="002E6F9E"/>
    <w:rsid w:val="00332C0C"/>
    <w:rsid w:val="003369BA"/>
    <w:rsid w:val="00380680"/>
    <w:rsid w:val="00433442"/>
    <w:rsid w:val="006B7354"/>
    <w:rsid w:val="006E13B8"/>
    <w:rsid w:val="007171A9"/>
    <w:rsid w:val="007218B4"/>
    <w:rsid w:val="0086355F"/>
    <w:rsid w:val="00891B75"/>
    <w:rsid w:val="00C3787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FC5E"/>
  <w15:chartTrackingRefBased/>
  <w15:docId w15:val="{67ED567B-97E8-48E6-90F1-E25598A8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32C0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0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@reckovice.brno.cz" TargetMode="External"/><Relationship Id="rId4" Type="http://schemas.openxmlformats.org/officeDocument/2006/relationships/hyperlink" Target="http://www.br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Links>
    <vt:vector size="12" baseType="variant">
      <vt:variant>
        <vt:i4>7405581</vt:i4>
      </vt:variant>
      <vt:variant>
        <vt:i4>3</vt:i4>
      </vt:variant>
      <vt:variant>
        <vt:i4>0</vt:i4>
      </vt:variant>
      <vt:variant>
        <vt:i4>5</vt:i4>
      </vt:variant>
      <vt:variant>
        <vt:lpwstr>mailto:sekr@reckovice.brno.cz</vt:lpwstr>
      </vt:variant>
      <vt:variant>
        <vt:lpwstr/>
      </vt:variant>
      <vt:variant>
        <vt:i4>7536686</vt:i4>
      </vt:variant>
      <vt:variant>
        <vt:i4>0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Brdíčko</dc:creator>
  <cp:keywords/>
  <dc:description/>
  <cp:lastModifiedBy>David Brdíčko</cp:lastModifiedBy>
  <cp:revision>2</cp:revision>
  <dcterms:created xsi:type="dcterms:W3CDTF">2019-10-10T08:03:00Z</dcterms:created>
  <dcterms:modified xsi:type="dcterms:W3CDTF">2019-10-10T08:03:00Z</dcterms:modified>
</cp:coreProperties>
</file>